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default"/>
          <w:b/>
          <w:sz w:val="24"/>
          <w:lang w:val="en-US" w:eastAsia="zh-CN"/>
        </w:rPr>
        <w:t>2</w:t>
      </w:r>
      <w:r>
        <w:rPr>
          <w:b/>
          <w:sz w:val="24"/>
        </w:rPr>
        <w:tab/>
      </w:r>
      <w:r>
        <w:rPr>
          <w:rFonts w:hint="eastAsia"/>
          <w:b/>
          <w:sz w:val="24"/>
          <w:highlight w:val="none"/>
        </w:rPr>
        <w:t>R5-240068</w:t>
      </w:r>
    </w:p>
    <w:p>
      <w:pPr>
        <w:pStyle w:val="104"/>
        <w:tabs>
          <w:tab w:val="right" w:pos="9639"/>
        </w:tabs>
        <w:spacing w:after="0"/>
        <w:outlineLvl w:val="0"/>
        <w:rPr>
          <w:b/>
          <w:sz w:val="24"/>
        </w:rPr>
      </w:pPr>
      <w:r>
        <w:rPr>
          <w:rFonts w:hint="default" w:ascii="Arial" w:hAnsi="Arial" w:cs="Arial"/>
          <w:b/>
          <w:sz w:val="24"/>
          <w:highlight w:val="none"/>
          <w:lang w:val="en-US"/>
        </w:rPr>
        <w:t>Athens, Greece, February 26 – March 1 , 202</w:t>
      </w:r>
      <w:r>
        <w:rPr>
          <w:rFonts w:hint="default"/>
          <w:b/>
          <w:sz w:val="24"/>
          <w:lang w:val="en-US"/>
        </w:rPr>
        <w:t>4</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Mar</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102</w:t>
      </w:r>
      <w:r>
        <w:rPr>
          <w:rFonts w:ascii="Arial" w:hAnsi="Arial" w:cs="Arial"/>
          <w:highlight w:val="none"/>
        </w:rPr>
        <w:t xml:space="preserve"> (the details can be found in </w:t>
      </w:r>
      <w:r>
        <w:rPr>
          <w:rFonts w:hint="eastAsia" w:ascii="Arial" w:hAnsi="Arial" w:cs="Arial"/>
          <w:highlight w:val="none"/>
          <w:lang w:eastAsia="ja-JP"/>
        </w:rPr>
        <w:t>R5-240069</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T</w:t>
      </w:r>
      <w:r>
        <w:rPr>
          <w:rFonts w:hint="default" w:ascii="Arial" w:hAnsi="Arial" w:cs="Arial"/>
          <w:highlight w:val="none"/>
          <w:lang w:val="en-US"/>
        </w:rPr>
        <w:t xml:space="preserve">est environment,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applicability</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RF/Demod</w:t>
      </w:r>
      <w:r>
        <w:rPr>
          <w:rFonts w:hint="eastAsia"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default"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40069</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102</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R5-240067</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Revised WID on UE Conformance - NB-IoT eMTC NTN, </w:t>
      </w:r>
      <w:r>
        <w:rPr>
          <w:rFonts w:hint="eastAsia" w:ascii="Arial" w:hAnsi="Arial" w:cs="Arial" w:eastAsiaTheme="minorEastAsia"/>
          <w:highlight w:val="none"/>
        </w:rPr>
        <w:t>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R5-241942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Discussion on the closure of R18 IoT NTN UEConTest WI, </w:t>
      </w:r>
      <w:r>
        <w:rPr>
          <w:rFonts w:hint="eastAsia" w:ascii="Arial" w:hAnsi="Arial" w:cs="Arial" w:eastAsiaTheme="minorEastAsia"/>
          <w:highlight w:val="none"/>
        </w:rPr>
        <w:t>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R5-241791</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On the splitting of the NB-IoT NTN Frequency Error test cases, ROHDE &amp; SCHWARZ</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R5-241943</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Ephemeris definition for IoT NTN RRM neighbour cells, Keysight Technologies UK Ltd</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R5-240075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Update to common requirements of test equipment for IoT-NTN, 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R5-241951</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of test environment for IoT NTN RF testing, </w:t>
      </w:r>
      <w:r>
        <w:rPr>
          <w:rFonts w:hint="eastAsia" w:ascii="Arial" w:hAnsi="Arial" w:cs="Arial" w:eastAsiaTheme="minorEastAsia"/>
          <w:highlight w:val="none"/>
          <w:lang w:eastAsia="zh-CN"/>
        </w:rPr>
        <w:t>ROHDE &amp; SCHWARZ</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Updates to Test environment for eMTC NTN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R5-242002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Updates to Test environment for NB-IoT NTN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Common Test environment updates for IoT NTN RF, demod and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R5-241558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Correction to System information for NTN, </w:t>
      </w:r>
      <w:r>
        <w:rPr>
          <w:rFonts w:hint="eastAsia" w:ascii="Arial" w:hAnsi="Arial" w:cs="Arial" w:eastAsiaTheme="minorEastAsia"/>
          <w:highlight w:val="none"/>
          <w:lang w:eastAsia="zh-CN"/>
        </w:rPr>
        <w:t>MediaTek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R5-241918</w:t>
      </w:r>
      <w:r>
        <w:rPr>
          <w:rFonts w:ascii="Arial" w:hAnsi="Arial" w:cs="Arial" w:eastAsiaTheme="minorEastAsia"/>
          <w:highlight w:val="none"/>
          <w:lang w:val="en-US"/>
        </w:rPr>
        <w:t xml:space="preserve"> </w:t>
      </w:r>
      <w:r>
        <w:rPr>
          <w:rFonts w:hint="eastAsia" w:ascii="Arial" w:hAnsi="Arial" w:cs="Arial" w:eastAsiaTheme="minorEastAsia"/>
          <w:highlight w:val="none"/>
        </w:rPr>
        <w:t>Update to R18 IoT NTN test cases applicability, CMCC, MediaTek, CAICT, Sporton, Keysight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R5-241953</w:t>
      </w:r>
      <w:r>
        <w:rPr>
          <w:rFonts w:ascii="Arial" w:hAnsi="Arial" w:cs="Arial" w:eastAsiaTheme="minorEastAsia"/>
          <w:highlight w:val="none"/>
          <w:lang w:val="en-US"/>
        </w:rPr>
        <w:t xml:space="preserve"> </w:t>
      </w:r>
      <w:r>
        <w:rPr>
          <w:rFonts w:hint="eastAsia" w:ascii="Arial" w:hAnsi="Arial" w:cs="Arial" w:eastAsiaTheme="minorEastAsia"/>
          <w:highlight w:val="none"/>
        </w:rPr>
        <w:t>Aligning the applicability for NB-IoT NTN frequency error, ROHDE &amp; SCHWARZ</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R5-241794</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for NB-IoT NTN TA cases and RLM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R5-240024</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R5-240029</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TT in Annex,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R5-242004</w:t>
      </w:r>
      <w:r>
        <w:rPr>
          <w:rFonts w:ascii="Arial" w:hAnsi="Arial" w:cs="Arial" w:eastAsiaTheme="minorEastAsia"/>
          <w:highlight w:val="none"/>
          <w:lang w:val="en-US"/>
        </w:rPr>
        <w:t xml:space="preserve"> </w:t>
      </w:r>
      <w:r>
        <w:rPr>
          <w:rFonts w:hint="eastAsia" w:ascii="Arial" w:hAnsi="Arial" w:cs="Arial" w:eastAsiaTheme="minorEastAsia"/>
          <w:highlight w:val="none"/>
        </w:rPr>
        <w:t>Addition and correction to the NTN related abbreviations in 36.521-3,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R5-240211</w:t>
      </w:r>
      <w:r>
        <w:rPr>
          <w:rFonts w:ascii="Arial" w:hAnsi="Arial" w:cs="Arial" w:eastAsiaTheme="minorEastAsia"/>
          <w:highlight w:val="none"/>
          <w:lang w:val="en-US"/>
        </w:rPr>
        <w:t xml:space="preserve"> </w:t>
      </w:r>
      <w:r>
        <w:rPr>
          <w:rFonts w:hint="eastAsia" w:ascii="Arial" w:hAnsi="Arial" w:cs="Arial" w:eastAsiaTheme="minorEastAsia"/>
          <w:highlight w:val="none"/>
        </w:rPr>
        <w:t>Update TT value to message content and test requirement of RA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R5-241795</w:t>
      </w:r>
      <w:r>
        <w:rPr>
          <w:rFonts w:ascii="Arial" w:hAnsi="Arial" w:cs="Arial" w:eastAsiaTheme="minorEastAsia"/>
          <w:highlight w:val="none"/>
          <w:lang w:val="en-US"/>
        </w:rPr>
        <w:t xml:space="preserve"> </w:t>
      </w:r>
      <w:r>
        <w:rPr>
          <w:rFonts w:hint="eastAsia" w:ascii="Arial" w:hAnsi="Arial" w:cs="Arial" w:eastAsiaTheme="minorEastAsia"/>
          <w:highlight w:val="none"/>
        </w:rPr>
        <w:t>Editorial removal to editors notes of DCQR cases, MediaTek (Hefei) Inc.,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R5-240219</w:t>
      </w:r>
      <w:r>
        <w:rPr>
          <w:rFonts w:ascii="Arial" w:hAnsi="Arial" w:cs="Arial" w:eastAsiaTheme="minorEastAsia"/>
          <w:highlight w:val="none"/>
          <w:lang w:val="en-US"/>
        </w:rPr>
        <w:t xml:space="preserve"> </w:t>
      </w:r>
      <w:r>
        <w:rPr>
          <w:rFonts w:hint="eastAsia" w:ascii="Arial" w:hAnsi="Arial" w:cs="Arial" w:eastAsiaTheme="minorEastAsia"/>
          <w:highlight w:val="none"/>
        </w:rPr>
        <w:t>Update cell specific parameters for NB-IoT NTN RA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R5-240615</w:t>
      </w:r>
      <w:r>
        <w:rPr>
          <w:rFonts w:ascii="Arial" w:hAnsi="Arial" w:cs="Arial" w:eastAsiaTheme="minorEastAsia"/>
          <w:highlight w:val="none"/>
          <w:lang w:val="en-US"/>
        </w:rPr>
        <w:t xml:space="preserve"> </w:t>
      </w:r>
      <w:r>
        <w:rPr>
          <w:rFonts w:hint="eastAsia" w:ascii="Arial" w:hAnsi="Arial" w:cs="Arial" w:eastAsiaTheme="minorEastAsia"/>
          <w:highlight w:val="none"/>
        </w:rPr>
        <w:t>NTN NB-IoT - Message exception correction in RRM test case 13.1.1.2,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R5-240922</w:t>
      </w:r>
      <w:r>
        <w:rPr>
          <w:rFonts w:ascii="Arial" w:hAnsi="Arial" w:cs="Arial" w:eastAsiaTheme="minorEastAsia"/>
          <w:highlight w:val="none"/>
          <w:lang w:val="en-US"/>
        </w:rPr>
        <w:t xml:space="preserve"> </w:t>
      </w:r>
      <w:r>
        <w:rPr>
          <w:rFonts w:hint="eastAsia" w:ascii="Arial" w:hAnsi="Arial" w:cs="Arial" w:eastAsiaTheme="minorEastAsia"/>
          <w:highlight w:val="none"/>
        </w:rPr>
        <w:t>Editorial upda</w:t>
      </w:r>
      <w:bookmarkStart w:id="0" w:name="_GoBack"/>
      <w:bookmarkEnd w:id="0"/>
      <w:r>
        <w:rPr>
          <w:rFonts w:hint="eastAsia" w:ascii="Arial" w:hAnsi="Arial" w:cs="Arial" w:eastAsiaTheme="minorEastAsia"/>
          <w:highlight w:val="none"/>
        </w:rPr>
        <w:t>te for UE timing advance for satellite access TC 13.4.2.2,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yellow"/>
        </w:rPr>
        <w:t>R5-242003</w:t>
      </w:r>
      <w:r>
        <w:rPr>
          <w:rFonts w:ascii="Arial" w:hAnsi="Arial" w:cs="Arial" w:eastAsiaTheme="minorEastAsia"/>
          <w:highlight w:val="yellow"/>
          <w:lang w:val="en-US"/>
        </w:rPr>
        <w:t xml:space="preserve"> </w:t>
      </w:r>
      <w:r>
        <w:rPr>
          <w:rFonts w:hint="eastAsia" w:ascii="Arial" w:hAnsi="Arial" w:cs="Arial" w:eastAsiaTheme="minorEastAsia"/>
          <w:highlight w:val="none"/>
        </w:rPr>
        <w:t>Correction to UE timing advance for satellite access TC 13.4.2.1,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R5-241244</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s-IntraSearchP IE for Re-selection NB-IOT NTN RRM TCs,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R5-241245</w:t>
      </w:r>
      <w:r>
        <w:rPr>
          <w:rFonts w:ascii="Arial" w:hAnsi="Arial" w:cs="Arial" w:eastAsiaTheme="minorEastAsia"/>
          <w:highlight w:val="none"/>
          <w:lang w:val="en-US"/>
        </w:rPr>
        <w:t xml:space="preserve"> </w:t>
      </w:r>
      <w:r>
        <w:rPr>
          <w:rFonts w:hint="eastAsia" w:ascii="Arial" w:hAnsi="Arial" w:cs="Arial" w:eastAsiaTheme="minorEastAsia"/>
          <w:highlight w:val="none"/>
        </w:rPr>
        <w:t>Re-Addition of omitted change for RRM test case 13.1.1.2,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to NB-IOT NTN RRM Reselection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R5-241796</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to NB-IOT NTN RRM TCs,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R5-241248</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RRM NB-IOT NTN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w:t>
      </w:r>
      <w:r>
        <w:rPr>
          <w:rFonts w:hint="eastAsia" w:ascii="Arial" w:hAnsi="Arial" w:cs="Arial" w:eastAsiaTheme="minorEastAsia"/>
          <w:highlight w:val="none"/>
          <w:lang w:val="en-US" w:eastAsia="zh-CN"/>
        </w:rPr>
        <w:t>50</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RRM NB-IOT NTN UL Timing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R5-241385</w:t>
      </w:r>
      <w:r>
        <w:rPr>
          <w:rFonts w:ascii="Arial" w:hAnsi="Arial" w:cs="Arial" w:eastAsiaTheme="minorEastAsia"/>
          <w:highlight w:val="none"/>
          <w:lang w:val="en-US"/>
        </w:rPr>
        <w:t xml:space="preserve"> </w:t>
      </w:r>
      <w:r>
        <w:rPr>
          <w:rFonts w:hint="eastAsia" w:ascii="Arial" w:hAnsi="Arial" w:cs="Arial" w:eastAsiaTheme="minorEastAsia"/>
          <w:highlight w:val="none"/>
        </w:rPr>
        <w:t>Channel quality reporting updates,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R5-241386</w:t>
      </w:r>
      <w:r>
        <w:rPr>
          <w:rFonts w:ascii="Arial" w:hAnsi="Arial" w:cs="Arial" w:eastAsiaTheme="minorEastAsia"/>
          <w:highlight w:val="none"/>
          <w:lang w:val="en-US"/>
        </w:rPr>
        <w:t xml:space="preserve"> </w:t>
      </w:r>
      <w:r>
        <w:rPr>
          <w:rFonts w:hint="eastAsia" w:ascii="Arial" w:hAnsi="Arial" w:cs="Arial" w:eastAsiaTheme="minorEastAsia"/>
          <w:highlight w:val="none"/>
        </w:rPr>
        <w:t>Radio Link Monitoring updates,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yellow"/>
        </w:rPr>
        <w:t>R5-241389</w:t>
      </w:r>
      <w:r>
        <w:rPr>
          <w:rFonts w:ascii="Arial" w:hAnsi="Arial" w:cs="Arial" w:eastAsiaTheme="minorEastAsia"/>
          <w:highlight w:val="none"/>
          <w:lang w:val="en-US"/>
        </w:rPr>
        <w:t xml:space="preserve"> </w:t>
      </w:r>
      <w:r>
        <w:rPr>
          <w:rFonts w:hint="eastAsia" w:ascii="Arial" w:hAnsi="Arial" w:cs="Arial" w:eastAsiaTheme="minorEastAsia"/>
          <w:highlight w:val="none"/>
        </w:rPr>
        <w:t>Annex A.3 update, Keysight Technologies UK Ltd</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R5-241797</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the wrong table number in 36.521-4 annex C,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R5-241798</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in TS 36.521-4, CMCC,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R5-241804</w:t>
      </w:r>
      <w:r>
        <w:rPr>
          <w:rFonts w:ascii="Arial" w:hAnsi="Arial" w:cs="Arial" w:eastAsiaTheme="minorEastAsia"/>
          <w:highlight w:val="none"/>
          <w:lang w:val="en-US"/>
        </w:rPr>
        <w:t xml:space="preserve"> </w:t>
      </w:r>
      <w:r>
        <w:rPr>
          <w:rFonts w:hint="eastAsia" w:ascii="Arial" w:hAnsi="Arial" w:cs="Arial" w:eastAsiaTheme="minorEastAsia"/>
          <w:highlight w:val="none"/>
        </w:rPr>
        <w:t>Clear-up CR for Editor notes of applicability, CMCC, MediaTek, CAICT, Sporton, Keysight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R5-241799</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the wrong citation number,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R5-241800</w:t>
      </w:r>
      <w:r>
        <w:rPr>
          <w:rFonts w:ascii="Arial" w:hAnsi="Arial" w:cs="Arial" w:eastAsiaTheme="minorEastAsia"/>
          <w:highlight w:val="none"/>
          <w:lang w:val="en-US"/>
        </w:rPr>
        <w:t xml:space="preserve"> </w:t>
      </w:r>
      <w:r>
        <w:rPr>
          <w:rFonts w:hint="eastAsia" w:ascii="Arial" w:hAnsi="Arial" w:cs="Arial" w:eastAsiaTheme="minorEastAsia"/>
          <w:highlight w:val="none"/>
        </w:rPr>
        <w:t>Editorial alignment for the test applicability,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R5-241801</w:t>
      </w:r>
      <w:r>
        <w:rPr>
          <w:rFonts w:ascii="Arial" w:hAnsi="Arial" w:cs="Arial" w:eastAsiaTheme="minorEastAsia"/>
          <w:highlight w:val="none"/>
          <w:lang w:val="en-US"/>
        </w:rPr>
        <w:t xml:space="preserve"> </w:t>
      </w:r>
      <w:r>
        <w:rPr>
          <w:rFonts w:hint="eastAsia" w:ascii="Arial" w:hAnsi="Arial" w:cs="Arial" w:eastAsiaTheme="minorEastAsia"/>
          <w:highlight w:val="none"/>
        </w:rPr>
        <w:t>Update of reference measurement channels in Annex A.3.12,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R5-242020</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Additional spurious emissions TCS,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R5-240144</w:t>
      </w:r>
      <w:r>
        <w:rPr>
          <w:rFonts w:ascii="Arial" w:hAnsi="Arial" w:cs="Arial" w:eastAsiaTheme="minorEastAsia"/>
          <w:highlight w:val="none"/>
          <w:lang w:val="en-US"/>
        </w:rPr>
        <w:t xml:space="preserve"> </w:t>
      </w:r>
      <w:r>
        <w:rPr>
          <w:rFonts w:hint="eastAsia" w:ascii="Arial" w:hAnsi="Arial" w:cs="Arial" w:eastAsiaTheme="minorEastAsia"/>
          <w:highlight w:val="none"/>
        </w:rPr>
        <w:t>Update content of Statistical testing of Performance Requirements with probability of misdetection in Annex G.4,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R5-240145</w:t>
      </w:r>
      <w:r>
        <w:rPr>
          <w:rFonts w:ascii="Arial" w:hAnsi="Arial" w:cs="Arial" w:eastAsiaTheme="minorEastAsia"/>
          <w:highlight w:val="none"/>
          <w:lang w:val="en-US"/>
        </w:rPr>
        <w:t xml:space="preserve"> </w:t>
      </w:r>
      <w:r>
        <w:rPr>
          <w:rFonts w:hint="eastAsia" w:ascii="Arial" w:hAnsi="Arial" w:cs="Arial" w:eastAsiaTheme="minorEastAsia"/>
          <w:highlight w:val="none"/>
        </w:rPr>
        <w:t>Update TT value to NTN demod cases,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R5-242005</w:t>
      </w:r>
      <w:r>
        <w:rPr>
          <w:rFonts w:ascii="Arial" w:hAnsi="Arial" w:cs="Arial" w:eastAsiaTheme="minorEastAsia"/>
          <w:highlight w:val="none"/>
          <w:lang w:val="en-US"/>
        </w:rPr>
        <w:t xml:space="preserve"> </w:t>
      </w:r>
      <w:r>
        <w:rPr>
          <w:rFonts w:hint="eastAsia" w:ascii="Arial" w:hAnsi="Arial" w:cs="Arial" w:eastAsiaTheme="minorEastAsia"/>
          <w:highlight w:val="none"/>
        </w:rPr>
        <w:t>Addition and correction to the NTN related abbreviations in 36.521-4,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R5-240862</w:t>
      </w:r>
      <w:r>
        <w:rPr>
          <w:rFonts w:ascii="Arial" w:hAnsi="Arial" w:cs="Arial" w:eastAsiaTheme="minorEastAsia"/>
          <w:highlight w:val="none"/>
          <w:lang w:val="en-US"/>
        </w:rPr>
        <w:t xml:space="preserve"> </w:t>
      </w:r>
      <w:r>
        <w:rPr>
          <w:rFonts w:hint="eastAsia" w:ascii="Arial" w:hAnsi="Arial" w:cs="Arial" w:eastAsiaTheme="minorEastAsia"/>
          <w:highlight w:val="none"/>
        </w:rPr>
        <w:t>Clarification on NPDSCH repetitions for Demod NB-IoT NTN test cases, Keysight Technologies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R5-241954</w:t>
      </w:r>
      <w:r>
        <w:rPr>
          <w:rFonts w:ascii="Arial" w:hAnsi="Arial" w:cs="Arial" w:eastAsiaTheme="minorEastAsia"/>
          <w:highlight w:val="none"/>
          <w:lang w:val="en-US"/>
        </w:rPr>
        <w:t xml:space="preserve"> </w:t>
      </w:r>
      <w:r>
        <w:rPr>
          <w:rFonts w:hint="eastAsia" w:ascii="Arial" w:hAnsi="Arial" w:cs="Arial" w:eastAsiaTheme="minorEastAsia"/>
          <w:highlight w:val="none"/>
        </w:rPr>
        <w:t>Splitting the NB-IoT NTN frequency error test case, ROHDE &amp; SCHWARZ,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R5-242006</w:t>
      </w:r>
      <w:r>
        <w:rPr>
          <w:rFonts w:ascii="Arial" w:hAnsi="Arial" w:cs="Arial" w:eastAsiaTheme="minorEastAsia"/>
          <w:highlight w:val="none"/>
          <w:lang w:val="en-US"/>
        </w:rPr>
        <w:t xml:space="preserve"> </w:t>
      </w:r>
      <w:r>
        <w:rPr>
          <w:rFonts w:hint="eastAsia" w:ascii="Arial" w:hAnsi="Arial" w:cs="Arial" w:eastAsiaTheme="minorEastAsia"/>
          <w:highlight w:val="none"/>
        </w:rPr>
        <w:t>UL RMCs updates for IoT NTN,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R5-241387</w:t>
      </w:r>
      <w:r>
        <w:rPr>
          <w:rFonts w:ascii="Arial" w:hAnsi="Arial" w:cs="Arial" w:eastAsiaTheme="minorEastAsia"/>
          <w:highlight w:val="none"/>
          <w:lang w:val="en-US"/>
        </w:rPr>
        <w:t xml:space="preserve"> </w:t>
      </w:r>
      <w:r>
        <w:rPr>
          <w:rFonts w:hint="eastAsia" w:ascii="Arial" w:hAnsi="Arial" w:cs="Arial" w:eastAsiaTheme="minorEastAsia"/>
          <w:highlight w:val="none"/>
        </w:rPr>
        <w:t>Updates to PDSCH RMC, Keysight Technologies UK Ltd</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R5-240025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TT</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R5-240217</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IoT NTN test cases grouping</w:t>
      </w:r>
      <w:r>
        <w:rPr>
          <w:rFonts w:ascii="Arial" w:hAnsi="Arial" w:cs="Arial" w:eastAsiaTheme="minorEastAsia"/>
          <w:highlight w:val="none"/>
          <w:lang w:val="en-US"/>
        </w:rPr>
        <w:t>,</w:t>
      </w:r>
      <w:r>
        <w:rPr>
          <w:rFonts w:hint="eastAsia" w:ascii="Arial" w:hAnsi="Arial" w:cs="Arial" w:eastAsiaTheme="minorEastAsia"/>
          <w:highlight w:val="none"/>
          <w:lang w:val="en-US"/>
        </w:rPr>
        <w:t xml:space="preserve"> MediaTek (Hefei) Inc.</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eastAsia" w:ascii="Arial" w:hAnsi="Arial" w:eastAsia="宋体" w:cs="Arial"/>
          <w:b/>
          <w:highlight w:val="none"/>
          <w:lang w:val="en-US" w:eastAsia="zh-CN"/>
        </w:rPr>
        <w:t>4</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R5-241803</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of grouping of test cases defined in TS 36.521-4</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CMCC, MediaTek</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3"/>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R5-241955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Description of ephemeris calculation process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 Thales</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E6C72CB5"/>
    <w:multiLevelType w:val="singleLevel"/>
    <w:tmpl w:val="E6C72CB5"/>
    <w:lvl w:ilvl="0" w:tentative="0">
      <w:start w:val="1"/>
      <w:numFmt w:val="decimal"/>
      <w:lvlText w:val="[%1]"/>
      <w:lvlJc w:val="left"/>
      <w:rPr>
        <w:b w:val="0"/>
      </w:rPr>
    </w:lvl>
  </w:abstractNum>
  <w:abstractNum w:abstractNumId="5">
    <w:nsid w:val="FCA84EEE"/>
    <w:multiLevelType w:val="singleLevel"/>
    <w:tmpl w:val="FCA84EEE"/>
    <w:lvl w:ilvl="0" w:tentative="0">
      <w:start w:val="1"/>
      <w:numFmt w:val="decimal"/>
      <w:lvlText w:val="[%1]"/>
      <w:lvlJc w:val="left"/>
      <w:rPr>
        <w:b w:val="0"/>
      </w:rPr>
    </w:lvl>
  </w:abstractNum>
  <w:abstractNum w:abstractNumId="6">
    <w:nsid w:val="0D84CCCC"/>
    <w:multiLevelType w:val="singleLevel"/>
    <w:tmpl w:val="0D84CCCC"/>
    <w:lvl w:ilvl="0" w:tentative="0">
      <w:start w:val="1"/>
      <w:numFmt w:val="decimal"/>
      <w:lvlText w:val="[%1]"/>
      <w:lvlJc w:val="left"/>
      <w:rPr>
        <w:b w:val="0"/>
      </w:rPr>
    </w:lvl>
  </w:abstractNum>
  <w:abstractNum w:abstractNumId="7">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8">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9">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14024BA"/>
    <w:multiLevelType w:val="singleLevel"/>
    <w:tmpl w:val="614024BA"/>
    <w:lvl w:ilvl="0" w:tentative="0">
      <w:start w:val="1"/>
      <w:numFmt w:val="decimal"/>
      <w:lvlText w:val="[%1]"/>
      <w:lvlJc w:val="left"/>
      <w:rPr>
        <w:b w:val="0"/>
      </w:rPr>
    </w:lvl>
  </w:abstractNum>
  <w:abstractNum w:abstractNumId="11">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8"/>
  </w:num>
  <w:num w:numId="3">
    <w:abstractNumId w:val="12"/>
  </w:num>
  <w:num w:numId="4">
    <w:abstractNumId w:val="7"/>
  </w:num>
  <w:num w:numId="5">
    <w:abstractNumId w:val="9"/>
  </w:num>
  <w:num w:numId="6">
    <w:abstractNumId w:val="10"/>
  </w:num>
  <w:num w:numId="7">
    <w:abstractNumId w:val="1"/>
  </w:num>
  <w:num w:numId="8">
    <w:abstractNumId w:val="0"/>
  </w:num>
  <w:num w:numId="9">
    <w:abstractNumId w:val="2"/>
  </w:num>
  <w:num w:numId="10">
    <w:abstractNumId w:val="4"/>
  </w:num>
  <w:num w:numId="11">
    <w:abstractNumId w:val="5"/>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99573CD"/>
    <w:rsid w:val="0A294D91"/>
    <w:rsid w:val="0A821DCB"/>
    <w:rsid w:val="0A934B7D"/>
    <w:rsid w:val="0AB16165"/>
    <w:rsid w:val="0ADC0554"/>
    <w:rsid w:val="0AEC1FBC"/>
    <w:rsid w:val="0B156DBB"/>
    <w:rsid w:val="0B875DF5"/>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9082BE0"/>
    <w:rsid w:val="29083E60"/>
    <w:rsid w:val="290950B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2FE12433"/>
    <w:rsid w:val="303C7BDB"/>
    <w:rsid w:val="309E06A4"/>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BD5DA9"/>
    <w:rsid w:val="3ECC4BE8"/>
    <w:rsid w:val="3F3D2383"/>
    <w:rsid w:val="3F816D84"/>
    <w:rsid w:val="3F8F6D22"/>
    <w:rsid w:val="40192383"/>
    <w:rsid w:val="402F1A51"/>
    <w:rsid w:val="4041787C"/>
    <w:rsid w:val="4056719A"/>
    <w:rsid w:val="40701492"/>
    <w:rsid w:val="418F3A1F"/>
    <w:rsid w:val="41963733"/>
    <w:rsid w:val="421F2EEA"/>
    <w:rsid w:val="42D52692"/>
    <w:rsid w:val="42FC2DBB"/>
    <w:rsid w:val="43B1111A"/>
    <w:rsid w:val="441E0FD5"/>
    <w:rsid w:val="44404107"/>
    <w:rsid w:val="447D6A17"/>
    <w:rsid w:val="449D7185"/>
    <w:rsid w:val="454A4C88"/>
    <w:rsid w:val="45AE7D7B"/>
    <w:rsid w:val="46186BB2"/>
    <w:rsid w:val="463251D1"/>
    <w:rsid w:val="46D41D51"/>
    <w:rsid w:val="478D5278"/>
    <w:rsid w:val="47D74267"/>
    <w:rsid w:val="486E2258"/>
    <w:rsid w:val="48811037"/>
    <w:rsid w:val="48886A9B"/>
    <w:rsid w:val="48AA199B"/>
    <w:rsid w:val="48CE65F4"/>
    <w:rsid w:val="490B77B8"/>
    <w:rsid w:val="492A3986"/>
    <w:rsid w:val="49956E69"/>
    <w:rsid w:val="49FE24F4"/>
    <w:rsid w:val="4A016A84"/>
    <w:rsid w:val="4A117E90"/>
    <w:rsid w:val="4A1E3DC9"/>
    <w:rsid w:val="4AB56D9A"/>
    <w:rsid w:val="4B0F7224"/>
    <w:rsid w:val="4C6E4F06"/>
    <w:rsid w:val="4D21764B"/>
    <w:rsid w:val="4DAE1980"/>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740818"/>
    <w:rsid w:val="585C368D"/>
    <w:rsid w:val="58DF5C23"/>
    <w:rsid w:val="595371D3"/>
    <w:rsid w:val="59AA2AE2"/>
    <w:rsid w:val="59C23FFD"/>
    <w:rsid w:val="5A0E3BCE"/>
    <w:rsid w:val="5A466BC8"/>
    <w:rsid w:val="5A724FD4"/>
    <w:rsid w:val="5A812888"/>
    <w:rsid w:val="5A81521A"/>
    <w:rsid w:val="5A85323A"/>
    <w:rsid w:val="5ACC0548"/>
    <w:rsid w:val="5B1F3A0B"/>
    <w:rsid w:val="5B980404"/>
    <w:rsid w:val="5BDB61ED"/>
    <w:rsid w:val="5C147E54"/>
    <w:rsid w:val="5CAD2F36"/>
    <w:rsid w:val="5D2D156D"/>
    <w:rsid w:val="5E8250F4"/>
    <w:rsid w:val="5EA178AA"/>
    <w:rsid w:val="5EA615D3"/>
    <w:rsid w:val="5EC82C7F"/>
    <w:rsid w:val="5F0A5107"/>
    <w:rsid w:val="5F267BDE"/>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9806A35"/>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31871FF"/>
    <w:rsid w:val="732F503F"/>
    <w:rsid w:val="73B27495"/>
    <w:rsid w:val="73D13601"/>
    <w:rsid w:val="73FB3929"/>
    <w:rsid w:val="749B0403"/>
    <w:rsid w:val="749F2B1B"/>
    <w:rsid w:val="74B2398B"/>
    <w:rsid w:val="74D014A3"/>
    <w:rsid w:val="74FE75C0"/>
    <w:rsid w:val="751226C4"/>
    <w:rsid w:val="75BC7C51"/>
    <w:rsid w:val="75F65014"/>
    <w:rsid w:val="75F973DD"/>
    <w:rsid w:val="77042512"/>
    <w:rsid w:val="77B34C9B"/>
    <w:rsid w:val="783933A6"/>
    <w:rsid w:val="793C6AE9"/>
    <w:rsid w:val="79404263"/>
    <w:rsid w:val="79E91CF9"/>
    <w:rsid w:val="7A651673"/>
    <w:rsid w:val="7AD97A34"/>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20</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2024-03-01T07:29:21Z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